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7F7F7F" w:themeColor="text1" w:themeTint="80"/>
          <w:sz w:val="32"/>
          <w:szCs w:val="32"/>
        </w:rPr>
        <w:id w:val="4469698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9D11C0" w:rsidRDefault="009D11C0">
          <w:pPr>
            <w:jc w:val="right"/>
            <w:rPr>
              <w:color w:val="7F7F7F" w:themeColor="text1" w:themeTint="80"/>
              <w:sz w:val="32"/>
              <w:szCs w:val="32"/>
            </w:rPr>
          </w:pPr>
        </w:p>
        <w:tbl>
          <w:tblPr>
            <w:tblpPr w:leftFromText="187" w:rightFromText="187" w:vertAnchor="page" w:horzAnchor="margin" w:tblpXSpec="center" w:tblpY="2701"/>
            <w:tblOverlap w:val="never"/>
            <w:tblW w:w="0" w:type="auto"/>
            <w:tblLook w:val="04A0"/>
          </w:tblPr>
          <w:tblGrid>
            <w:gridCol w:w="9576"/>
          </w:tblGrid>
          <w:tr w:rsidR="00777777" w:rsidTr="00777777">
            <w:tc>
              <w:tcPr>
                <w:tcW w:w="9576" w:type="dxa"/>
              </w:tcPr>
              <w:p w:rsidR="00777777" w:rsidRDefault="00777777" w:rsidP="00777777">
                <w:pPr>
                  <w:pStyle w:val="NoSpacing"/>
                  <w:rPr>
                    <w:color w:val="7F7F7F" w:themeColor="text1" w:themeTint="80"/>
                    <w:sz w:val="32"/>
                    <w:szCs w:val="32"/>
                  </w:rPr>
                </w:pPr>
              </w:p>
            </w:tc>
          </w:tr>
        </w:tbl>
        <w:p w:rsidR="009D11C0" w:rsidRPr="00794A86" w:rsidRDefault="007B0F55" w:rsidP="007B0F55">
          <w:pPr>
            <w:tabs>
              <w:tab w:val="left" w:pos="1005"/>
              <w:tab w:val="center" w:pos="5040"/>
            </w:tabs>
            <w:ind w:firstLine="720"/>
            <w:jc w:val="center"/>
            <w:rPr>
              <w:rFonts w:asciiTheme="majorHAnsi" w:hAnsiTheme="majorHAnsi"/>
              <w:b/>
              <w:smallCaps/>
              <w:color w:val="000000" w:themeColor="text1"/>
              <w:sz w:val="72"/>
              <w:szCs w:val="72"/>
            </w:rPr>
          </w:pPr>
          <w:r w:rsidRPr="00794A86">
            <w:rPr>
              <w:rFonts w:asciiTheme="majorHAnsi" w:hAnsiTheme="majorHAnsi"/>
              <w:b/>
              <w:smallCaps/>
              <w:color w:val="000000" w:themeColor="text1"/>
              <w:sz w:val="72"/>
              <w:szCs w:val="72"/>
            </w:rPr>
            <w:t>Profit and Loss Sheet</w:t>
          </w:r>
        </w:p>
        <w:tbl>
          <w:tblPr>
            <w:tblStyle w:val="MediumList2"/>
            <w:tblpPr w:leftFromText="180" w:rightFromText="180" w:vertAnchor="text" w:horzAnchor="margin" w:tblpY="-108"/>
            <w:tblW w:w="9694" w:type="dxa"/>
            <w:tblLook w:val="04A0"/>
          </w:tblPr>
          <w:tblGrid>
            <w:gridCol w:w="4379"/>
            <w:gridCol w:w="1644"/>
            <w:gridCol w:w="1644"/>
            <w:gridCol w:w="2027"/>
          </w:tblGrid>
          <w:tr w:rsidR="00AD7286" w:rsidRPr="001B1F0F" w:rsidTr="00AD7286">
            <w:trPr>
              <w:cnfStyle w:val="100000000000"/>
              <w:trHeight w:val="417"/>
            </w:trPr>
            <w:tc>
              <w:tcPr>
                <w:cnfStyle w:val="001000000100"/>
                <w:tcW w:w="4379" w:type="dxa"/>
              </w:tcPr>
              <w:p w:rsidR="00777777" w:rsidRPr="00657A6D" w:rsidRDefault="00777777" w:rsidP="00777777">
                <w:pPr>
                  <w:jc w:val="center"/>
                  <w:rPr>
                    <w:b/>
                    <w:color w:val="FF0000"/>
                    <w:sz w:val="26"/>
                  </w:rPr>
                </w:pPr>
                <w:r w:rsidRPr="00657A6D">
                  <w:rPr>
                    <w:b/>
                    <w:color w:val="FF0000"/>
                    <w:sz w:val="26"/>
                  </w:rPr>
                  <w:t>[Particulars]</w:t>
                </w:r>
              </w:p>
            </w:tc>
            <w:tc>
              <w:tcPr>
                <w:tcW w:w="1644" w:type="dxa"/>
              </w:tcPr>
              <w:p w:rsidR="00777777" w:rsidRPr="00657A6D" w:rsidRDefault="00777777" w:rsidP="00777777">
                <w:pPr>
                  <w:jc w:val="center"/>
                  <w:cnfStyle w:val="100000000000"/>
                  <w:rPr>
                    <w:b/>
                    <w:color w:val="FF0000"/>
                    <w:sz w:val="26"/>
                  </w:rPr>
                </w:pPr>
                <w:r w:rsidRPr="00657A6D">
                  <w:rPr>
                    <w:b/>
                    <w:color w:val="FF0000"/>
                    <w:sz w:val="26"/>
                  </w:rPr>
                  <w:t>[Year]</w:t>
                </w:r>
              </w:p>
            </w:tc>
            <w:tc>
              <w:tcPr>
                <w:tcW w:w="1644" w:type="dxa"/>
              </w:tcPr>
              <w:p w:rsidR="00777777" w:rsidRPr="00657A6D" w:rsidRDefault="00777777" w:rsidP="00777777">
                <w:pPr>
                  <w:jc w:val="center"/>
                  <w:cnfStyle w:val="100000000000"/>
                  <w:rPr>
                    <w:b/>
                    <w:color w:val="FF0000"/>
                    <w:sz w:val="26"/>
                  </w:rPr>
                </w:pPr>
                <w:r w:rsidRPr="00657A6D">
                  <w:rPr>
                    <w:b/>
                    <w:color w:val="FF0000"/>
                    <w:sz w:val="26"/>
                  </w:rPr>
                  <w:t>[Year]</w:t>
                </w:r>
              </w:p>
            </w:tc>
            <w:tc>
              <w:tcPr>
                <w:tcW w:w="2027" w:type="dxa"/>
              </w:tcPr>
              <w:p w:rsidR="00777777" w:rsidRPr="00657A6D" w:rsidRDefault="00777777" w:rsidP="00777777">
                <w:pPr>
                  <w:jc w:val="center"/>
                  <w:cnfStyle w:val="100000000000"/>
                  <w:rPr>
                    <w:b/>
                    <w:color w:val="FF0000"/>
                    <w:sz w:val="26"/>
                  </w:rPr>
                </w:pPr>
                <w:r w:rsidRPr="00657A6D">
                  <w:rPr>
                    <w:b/>
                    <w:color w:val="FF0000"/>
                    <w:sz w:val="26"/>
                  </w:rPr>
                  <w:t>[Year]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jc w:val="center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Operating Cash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Account Receivables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Inventories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Other Current Assets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Total Current Assets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Gross Property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Accumulated Description</w:t>
                </w:r>
              </w:p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Net Property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Other Assets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Goodwill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Discontinued Operations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AD7286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Total Assets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0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0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0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color w:val="5F497A" w:themeColor="accent4" w:themeShade="BF"/>
                    <w:sz w:val="24"/>
                    <w:szCs w:val="24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Liabilities &amp; Shareholder’s Equity</w:t>
                </w:r>
              </w:p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Short Term Debt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 xml:space="preserve">A/c Payable &amp; Accrued Liabilities 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AD7286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Total Current Liabilities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0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0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0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Long Term Debt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Other Long Term Liabilities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Deferred Income taxes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100000"/>
                  <w:rPr>
                    <w:b/>
                    <w:color w:val="5F497A" w:themeColor="accent4" w:themeShade="BF"/>
                  </w:rPr>
                </w:pPr>
                <w:r w:rsidRPr="00DE2B8F">
                  <w:rPr>
                    <w:b/>
                    <w:color w:val="5F497A" w:themeColor="accent4" w:themeShade="BF"/>
                  </w:rPr>
                  <w:t>------------</w:t>
                </w: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Total Liabilities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Total Shareholder’s Equity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  <w:tr w:rsidR="00777777" w:rsidRPr="001B1F0F" w:rsidTr="00AD7286">
            <w:trPr>
              <w:cnfStyle w:val="000000100000"/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1B1F0F" w:rsidRDefault="00777777" w:rsidP="00777777">
                <w:pPr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1644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  <w:tc>
              <w:tcPr>
                <w:tcW w:w="2027" w:type="dxa"/>
              </w:tcPr>
              <w:p w:rsidR="00777777" w:rsidRPr="001B1F0F" w:rsidRDefault="00777777" w:rsidP="00777777">
                <w:pPr>
                  <w:jc w:val="center"/>
                  <w:cnfStyle w:val="000000100000"/>
                  <w:rPr>
                    <w:b/>
                    <w:color w:val="4F6228"/>
                  </w:rPr>
                </w:pPr>
              </w:p>
            </w:tc>
          </w:tr>
          <w:tr w:rsidR="00777777" w:rsidRPr="001B1F0F" w:rsidTr="00AD7286">
            <w:trPr>
              <w:trHeight w:hRule="exact" w:val="371"/>
            </w:trPr>
            <w:tc>
              <w:tcPr>
                <w:cnfStyle w:val="001000000000"/>
                <w:tcW w:w="4379" w:type="dxa"/>
              </w:tcPr>
              <w:p w:rsidR="00777777" w:rsidRPr="00DE2B8F" w:rsidRDefault="00777777" w:rsidP="00777777">
                <w:pPr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Total Liabilities &amp; Equity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1644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  <w:tc>
              <w:tcPr>
                <w:tcW w:w="2027" w:type="dxa"/>
              </w:tcPr>
              <w:p w:rsidR="00777777" w:rsidRPr="00DE2B8F" w:rsidRDefault="00777777" w:rsidP="00777777">
                <w:pPr>
                  <w:jc w:val="center"/>
                  <w:cnfStyle w:val="000000000000"/>
                  <w:rPr>
                    <w:b/>
                    <w:color w:val="632423" w:themeColor="accent2" w:themeShade="80"/>
                  </w:rPr>
                </w:pPr>
                <w:r w:rsidRPr="00DE2B8F">
                  <w:rPr>
                    <w:b/>
                    <w:color w:val="632423" w:themeColor="accent2" w:themeShade="80"/>
                  </w:rPr>
                  <w:t>------------</w:t>
                </w:r>
              </w:p>
            </w:tc>
          </w:tr>
        </w:tbl>
        <w:p w:rsidR="00B55CB0" w:rsidRPr="00777777" w:rsidRDefault="003D0F32" w:rsidP="00777777">
          <w:pPr>
            <w:tabs>
              <w:tab w:val="left" w:pos="3780"/>
            </w:tabs>
            <w:rPr>
              <w:color w:val="7F7F7F" w:themeColor="text1" w:themeTint="80"/>
              <w:sz w:val="32"/>
              <w:szCs w:val="32"/>
            </w:rPr>
          </w:pPr>
        </w:p>
      </w:sdtContent>
    </w:sdt>
    <w:sectPr w:rsidR="00B55CB0" w:rsidRPr="00777777" w:rsidSect="00AD7286">
      <w:pgSz w:w="12240" w:h="15840"/>
      <w:pgMar w:top="630" w:right="117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25" w:rsidRDefault="00524725" w:rsidP="001E6BEE">
      <w:pPr>
        <w:spacing w:after="0" w:line="240" w:lineRule="auto"/>
      </w:pPr>
      <w:r>
        <w:separator/>
      </w:r>
    </w:p>
  </w:endnote>
  <w:endnote w:type="continuationSeparator" w:id="1">
    <w:p w:rsidR="00524725" w:rsidRDefault="00524725" w:rsidP="001E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25" w:rsidRDefault="00524725" w:rsidP="001E6BEE">
      <w:pPr>
        <w:spacing w:after="0" w:line="240" w:lineRule="auto"/>
      </w:pPr>
      <w:r>
        <w:separator/>
      </w:r>
    </w:p>
  </w:footnote>
  <w:footnote w:type="continuationSeparator" w:id="1">
    <w:p w:rsidR="00524725" w:rsidRDefault="00524725" w:rsidP="001E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1C0"/>
    <w:rsid w:val="000223EE"/>
    <w:rsid w:val="001B4B25"/>
    <w:rsid w:val="001E6BEE"/>
    <w:rsid w:val="00253C79"/>
    <w:rsid w:val="002A3310"/>
    <w:rsid w:val="002E58EA"/>
    <w:rsid w:val="003D0F32"/>
    <w:rsid w:val="004318BB"/>
    <w:rsid w:val="00524725"/>
    <w:rsid w:val="005D72E8"/>
    <w:rsid w:val="00657A6D"/>
    <w:rsid w:val="00777777"/>
    <w:rsid w:val="00794A86"/>
    <w:rsid w:val="007959BB"/>
    <w:rsid w:val="007B0F55"/>
    <w:rsid w:val="00851F54"/>
    <w:rsid w:val="009D11C0"/>
    <w:rsid w:val="00AD7286"/>
    <w:rsid w:val="00B0150F"/>
    <w:rsid w:val="00B55CB0"/>
    <w:rsid w:val="00C2645A"/>
    <w:rsid w:val="00CE27B5"/>
    <w:rsid w:val="00DE2B8F"/>
    <w:rsid w:val="00E5708A"/>
    <w:rsid w:val="00F9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11C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D11C0"/>
  </w:style>
  <w:style w:type="paragraph" w:styleId="BalloonText">
    <w:name w:val="Balloon Text"/>
    <w:basedOn w:val="Normal"/>
    <w:link w:val="BalloonTextChar"/>
    <w:uiPriority w:val="99"/>
    <w:semiHidden/>
    <w:unhideWhenUsed/>
    <w:rsid w:val="009D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1C0"/>
    <w:rPr>
      <w:rFonts w:ascii="Tahoma" w:hAnsi="Tahoma" w:cs="Tahoma"/>
      <w:sz w:val="16"/>
      <w:szCs w:val="16"/>
    </w:rPr>
  </w:style>
  <w:style w:type="table" w:styleId="MediumList2">
    <w:name w:val="Medium List 2"/>
    <w:basedOn w:val="TableNormal"/>
    <w:uiPriority w:val="66"/>
    <w:rsid w:val="002E58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1E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6BEE"/>
  </w:style>
  <w:style w:type="paragraph" w:styleId="Footer">
    <w:name w:val="footer"/>
    <w:basedOn w:val="Normal"/>
    <w:link w:val="FooterChar"/>
    <w:uiPriority w:val="99"/>
    <w:semiHidden/>
    <w:unhideWhenUsed/>
    <w:rsid w:val="001E6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6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Profit and Loss Sheet</dc:title>
  <dc:subject/>
  <dc:creator>sheettemplates.org</dc:creator>
  <cp:keywords/>
  <dc:description/>
  <cp:lastModifiedBy>Abid</cp:lastModifiedBy>
  <cp:revision>21</cp:revision>
  <dcterms:created xsi:type="dcterms:W3CDTF">2010-09-20T18:07:00Z</dcterms:created>
  <dcterms:modified xsi:type="dcterms:W3CDTF">2012-04-11T12:29:00Z</dcterms:modified>
</cp:coreProperties>
</file>